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DF3" w:rsidRDefault="00FC264F" w:rsidP="00FC264F">
      <w:pPr>
        <w:jc w:val="center"/>
        <w:rPr>
          <w:noProof/>
          <w:lang w:eastAsia="es-ES"/>
        </w:rPr>
      </w:pPr>
      <w:r>
        <w:rPr>
          <w:noProof/>
          <w:lang w:eastAsia="es-ES"/>
        </w:rPr>
        <w:t xml:space="preserve"> </w:t>
      </w:r>
    </w:p>
    <w:p w:rsidR="00FC264F" w:rsidRPr="00CF3499" w:rsidRDefault="00FC264F" w:rsidP="00FC264F">
      <w:pPr>
        <w:jc w:val="center"/>
        <w:rPr>
          <w:sz w:val="40"/>
        </w:rPr>
      </w:pPr>
      <w:r>
        <w:rPr>
          <w:noProof/>
          <w:lang w:eastAsia="es-ES"/>
        </w:rPr>
        <w:drawing>
          <wp:inline distT="0" distB="0" distL="0" distR="0" wp14:anchorId="743DAE0F" wp14:editId="7D4B634A">
            <wp:extent cx="4295775" cy="812399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64"/>
                    <a:stretch/>
                  </pic:blipFill>
                  <pic:spPr bwMode="auto">
                    <a:xfrm>
                      <a:off x="0" y="0"/>
                      <a:ext cx="4296104" cy="81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1DF3">
        <w:rPr>
          <w:sz w:val="40"/>
        </w:rPr>
        <w:t xml:space="preserve">                                </w:t>
      </w:r>
      <w:r w:rsidRPr="00001DF3">
        <w:rPr>
          <w:b/>
          <w:color w:val="76923C" w:themeColor="accent3" w:themeShade="BF"/>
          <w:sz w:val="40"/>
        </w:rPr>
        <w:t>2 º y 3 Cursos online</w:t>
      </w:r>
      <w:r w:rsidR="007B5F24">
        <w:rPr>
          <w:b/>
          <w:color w:val="76923C" w:themeColor="accent3" w:themeShade="BF"/>
          <w:sz w:val="40"/>
        </w:rPr>
        <w:t>- 5º temporada 2022</w:t>
      </w:r>
      <w:bookmarkStart w:id="0" w:name="_GoBack"/>
      <w:bookmarkEnd w:id="0"/>
    </w:p>
    <w:p w:rsidR="002B6A97" w:rsidRDefault="00FC264F" w:rsidP="002B6A97">
      <w:pPr>
        <w:jc w:val="center"/>
      </w:pPr>
      <w:r>
        <w:rPr>
          <w:b/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182CA9F7" wp14:editId="048128B9">
            <wp:simplePos x="0" y="0"/>
            <wp:positionH relativeFrom="column">
              <wp:posOffset>4168140</wp:posOffset>
            </wp:positionH>
            <wp:positionV relativeFrom="paragraph">
              <wp:posOffset>488950</wp:posOffset>
            </wp:positionV>
            <wp:extent cx="1247775" cy="1247775"/>
            <wp:effectExtent l="0" t="0" r="9525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A97">
        <w:rPr>
          <w:noProof/>
          <w:lang w:eastAsia="es-ES"/>
        </w:rPr>
        <w:drawing>
          <wp:inline distT="0" distB="0" distL="0" distR="0" wp14:anchorId="508C30DE" wp14:editId="2D3B93F5">
            <wp:extent cx="3500651" cy="2453864"/>
            <wp:effectExtent l="0" t="0" r="508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" t="32377" r="-32" b="9759"/>
                    <a:stretch/>
                  </pic:blipFill>
                  <pic:spPr bwMode="auto">
                    <a:xfrm>
                      <a:off x="0" y="0"/>
                      <a:ext cx="3503770" cy="24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A97" w:rsidRPr="00B35346" w:rsidRDefault="00FC264F" w:rsidP="002B6A97">
      <w:pPr>
        <w:spacing w:after="150" w:line="300" w:lineRule="atLeast"/>
        <w:outlineLvl w:val="4"/>
        <w:rPr>
          <w:rFonts w:ascii="Corbel" w:eastAsia="Times New Roman" w:hAnsi="Corbel" w:cstheme="minorHAnsi"/>
          <w:bCs/>
          <w:color w:val="333333"/>
          <w:sz w:val="28"/>
          <w:szCs w:val="24"/>
          <w:lang w:eastAsia="es-ES"/>
        </w:rPr>
      </w:pPr>
      <w:r>
        <w:rPr>
          <w:rFonts w:ascii="Corbel" w:eastAsia="Times New Roman" w:hAnsi="Corbel" w:cstheme="minorHAnsi"/>
          <w:color w:val="333333"/>
          <w:sz w:val="20"/>
          <w:lang w:eastAsia="es-ES"/>
        </w:rPr>
        <w:t xml:space="preserve">Están abiertas  las inscripciones para el  </w:t>
      </w:r>
      <w:r w:rsidRPr="00FC264F">
        <w:rPr>
          <w:rFonts w:ascii="Corbel" w:eastAsia="Times New Roman" w:hAnsi="Corbel" w:cstheme="minorHAnsi"/>
          <w:b/>
          <w:color w:val="333333"/>
          <w:sz w:val="20"/>
          <w:lang w:eastAsia="es-ES"/>
        </w:rPr>
        <w:t>Segundo y Tercer  Curso</w:t>
      </w:r>
      <w:r>
        <w:rPr>
          <w:rFonts w:ascii="Corbel" w:eastAsia="Times New Roman" w:hAnsi="Corbel" w:cstheme="minorHAnsi"/>
          <w:b/>
          <w:color w:val="333333"/>
          <w:sz w:val="20"/>
          <w:lang w:eastAsia="es-ES"/>
        </w:rPr>
        <w:t xml:space="preserve"> online</w:t>
      </w:r>
      <w:r w:rsidRPr="00FC264F">
        <w:rPr>
          <w:rFonts w:ascii="Corbel" w:eastAsia="Times New Roman" w:hAnsi="Corbel" w:cstheme="minorHAnsi"/>
          <w:b/>
          <w:color w:val="333333"/>
          <w:sz w:val="20"/>
          <w:lang w:eastAsia="es-ES"/>
        </w:rPr>
        <w:t xml:space="preserve"> </w:t>
      </w:r>
      <w:r w:rsidR="002B6A97" w:rsidRPr="00FC264F">
        <w:rPr>
          <w:rFonts w:ascii="Corbel" w:eastAsia="Times New Roman" w:hAnsi="Corbel" w:cstheme="minorHAnsi"/>
          <w:b/>
          <w:color w:val="333333"/>
          <w:sz w:val="20"/>
          <w:lang w:eastAsia="es-ES"/>
        </w:rPr>
        <w:t xml:space="preserve"> de Medicina Paliativa en Niños y Adolescent</w:t>
      </w:r>
      <w:r w:rsidR="00C56E62" w:rsidRPr="00FC264F">
        <w:rPr>
          <w:rFonts w:ascii="Corbel" w:eastAsia="Times New Roman" w:hAnsi="Corbel" w:cstheme="minorHAnsi"/>
          <w:b/>
          <w:color w:val="333333"/>
          <w:sz w:val="20"/>
          <w:lang w:eastAsia="es-ES"/>
        </w:rPr>
        <w:t>es d</w:t>
      </w:r>
      <w:r w:rsidR="00C56E62">
        <w:rPr>
          <w:rFonts w:ascii="Corbel" w:eastAsia="Times New Roman" w:hAnsi="Corbel" w:cstheme="minorHAnsi"/>
          <w:color w:val="333333"/>
          <w:sz w:val="20"/>
          <w:lang w:eastAsia="es-ES"/>
        </w:rPr>
        <w:t xml:space="preserve">e Paliativos </w:t>
      </w:r>
      <w:r>
        <w:rPr>
          <w:rFonts w:ascii="Corbel" w:eastAsia="Times New Roman" w:hAnsi="Corbel" w:cstheme="minorHAnsi"/>
          <w:color w:val="333333"/>
          <w:sz w:val="20"/>
          <w:lang w:eastAsia="es-ES"/>
        </w:rPr>
        <w:t>que organiza Paliativos sin Fronteras,</w:t>
      </w:r>
      <w:r w:rsidR="00C56E62">
        <w:rPr>
          <w:rFonts w:ascii="Corbel" w:eastAsia="Times New Roman" w:hAnsi="Corbel" w:cstheme="minorHAnsi"/>
          <w:color w:val="333333"/>
          <w:sz w:val="20"/>
          <w:lang w:eastAsia="es-ES"/>
        </w:rPr>
        <w:t xml:space="preserve"> </w:t>
      </w:r>
      <w:r w:rsidR="00001DF3">
        <w:rPr>
          <w:rFonts w:ascii="Corbel" w:eastAsia="Times New Roman" w:hAnsi="Corbel" w:cstheme="minorHAnsi"/>
          <w:color w:val="333333"/>
          <w:sz w:val="20"/>
          <w:lang w:eastAsia="es-ES"/>
        </w:rPr>
        <w:t xml:space="preserve">entre septiembre y diciembre </w:t>
      </w:r>
      <w:r w:rsidR="00C56E62">
        <w:rPr>
          <w:rFonts w:ascii="Corbel" w:eastAsia="Times New Roman" w:hAnsi="Corbel" w:cstheme="minorHAnsi"/>
          <w:color w:val="333333"/>
          <w:sz w:val="20"/>
          <w:lang w:eastAsia="es-ES"/>
        </w:rPr>
        <w:t>con los siguientes contenidos:</w:t>
      </w:r>
    </w:p>
    <w:p w:rsidR="002B6A97" w:rsidRPr="00B35346" w:rsidRDefault="00C56E62" w:rsidP="002B6A97">
      <w:pPr>
        <w:spacing w:after="150" w:line="300" w:lineRule="atLeast"/>
        <w:jc w:val="both"/>
        <w:outlineLvl w:val="4"/>
        <w:rPr>
          <w:rFonts w:ascii="Corbel" w:eastAsia="Times New Roman" w:hAnsi="Corbel" w:cstheme="minorHAnsi"/>
          <w:bCs/>
          <w:color w:val="333333"/>
          <w:sz w:val="20"/>
          <w:szCs w:val="24"/>
          <w:lang w:eastAsia="es-ES"/>
        </w:rPr>
      </w:pPr>
      <w:r>
        <w:rPr>
          <w:rFonts w:ascii="Corbel" w:eastAsia="Times New Roman" w:hAnsi="Corbel" w:cstheme="minorHAnsi"/>
          <w:b/>
          <w:bCs/>
          <w:color w:val="333333"/>
          <w:sz w:val="20"/>
          <w:szCs w:val="24"/>
          <w:lang w:eastAsia="es-ES"/>
        </w:rPr>
        <w:t xml:space="preserve">2. </w:t>
      </w:r>
      <w:r w:rsidR="002B6A97" w:rsidRPr="00B35346">
        <w:rPr>
          <w:rFonts w:ascii="Corbel" w:eastAsia="Times New Roman" w:hAnsi="Corbel" w:cstheme="minorHAnsi"/>
          <w:b/>
          <w:bCs/>
          <w:color w:val="333333"/>
          <w:sz w:val="20"/>
          <w:szCs w:val="24"/>
          <w:lang w:eastAsia="es-ES"/>
        </w:rPr>
        <w:t xml:space="preserve">  </w:t>
      </w:r>
      <w:r w:rsidR="002B6A97" w:rsidRPr="00001DF3">
        <w:rPr>
          <w:rFonts w:ascii="Corbel" w:eastAsia="Times New Roman" w:hAnsi="Corbel" w:cstheme="minorHAnsi"/>
          <w:b/>
          <w:bCs/>
          <w:color w:val="333333"/>
          <w:sz w:val="20"/>
          <w:szCs w:val="24"/>
          <w:lang w:eastAsia="es-ES"/>
        </w:rPr>
        <w:t>CÁNCER Y OTRAS PATOLOGÍAS PEDIATRICAS CRONICAS. MANEJO PALIATIVO, CLINICO Y PEDAGÓGICO.NEONATOLOGÍA</w:t>
      </w:r>
      <w:r w:rsidR="002B6A97" w:rsidRPr="00B35346">
        <w:rPr>
          <w:rFonts w:ascii="Corbel" w:eastAsia="Times New Roman" w:hAnsi="Corbel" w:cstheme="minorHAnsi"/>
          <w:b/>
          <w:bCs/>
          <w:color w:val="333333"/>
          <w:sz w:val="20"/>
          <w:szCs w:val="24"/>
          <w:lang w:eastAsia="es-ES"/>
        </w:rPr>
        <w:t xml:space="preserve">  </w:t>
      </w:r>
      <w:r w:rsidR="002B6A97" w:rsidRPr="00B35346">
        <w:rPr>
          <w:rFonts w:ascii="Corbel" w:eastAsia="Times New Roman" w:hAnsi="Corbel" w:cstheme="minorHAnsi"/>
          <w:bCs/>
          <w:color w:val="333333"/>
          <w:sz w:val="20"/>
          <w:szCs w:val="24"/>
          <w:lang w:eastAsia="es-ES"/>
        </w:rPr>
        <w:t xml:space="preserve">Comunicación, manejo clínico, reacciones indeseables, seguimiento de supervivientes, VIH-SIDA, </w:t>
      </w:r>
      <w:proofErr w:type="spellStart"/>
      <w:r w:rsidR="002B6A97" w:rsidRPr="00B35346">
        <w:rPr>
          <w:rFonts w:ascii="Corbel" w:eastAsia="Times New Roman" w:hAnsi="Corbel" w:cstheme="minorHAnsi"/>
          <w:bCs/>
          <w:color w:val="333333"/>
          <w:sz w:val="20"/>
          <w:szCs w:val="24"/>
          <w:lang w:eastAsia="es-ES"/>
        </w:rPr>
        <w:t>Covid</w:t>
      </w:r>
      <w:proofErr w:type="spellEnd"/>
      <w:r w:rsidR="002B6A97" w:rsidRPr="00B35346">
        <w:rPr>
          <w:rFonts w:ascii="Corbel" w:eastAsia="Times New Roman" w:hAnsi="Corbel" w:cstheme="minorHAnsi"/>
          <w:bCs/>
          <w:color w:val="333333"/>
          <w:sz w:val="20"/>
          <w:szCs w:val="24"/>
          <w:lang w:eastAsia="es-ES"/>
        </w:rPr>
        <w:t xml:space="preserve"> 19, Parálisis cerebral. Importancia de la Pedagogía hospitalaria.</w:t>
      </w:r>
      <w:r>
        <w:rPr>
          <w:rFonts w:ascii="Corbel" w:eastAsia="Times New Roman" w:hAnsi="Corbel" w:cstheme="minorHAnsi"/>
          <w:bCs/>
          <w:color w:val="333333"/>
          <w:sz w:val="20"/>
          <w:szCs w:val="24"/>
          <w:lang w:eastAsia="es-ES"/>
        </w:rPr>
        <w:t xml:space="preserve"> </w:t>
      </w:r>
      <w:r w:rsidRPr="00C56E62">
        <w:rPr>
          <w:rFonts w:ascii="Corbel" w:eastAsia="Times New Roman" w:hAnsi="Corbel" w:cstheme="minorHAnsi"/>
          <w:b/>
          <w:bCs/>
          <w:color w:val="333333"/>
          <w:sz w:val="20"/>
          <w:szCs w:val="24"/>
          <w:lang w:eastAsia="es-ES"/>
        </w:rPr>
        <w:t>Acreditación:</w:t>
      </w:r>
      <w:r>
        <w:rPr>
          <w:rFonts w:ascii="Corbel" w:eastAsia="Times New Roman" w:hAnsi="Corbel" w:cstheme="minorHAnsi"/>
          <w:bCs/>
          <w:color w:val="333333"/>
          <w:sz w:val="20"/>
          <w:szCs w:val="24"/>
          <w:lang w:eastAsia="es-ES"/>
        </w:rPr>
        <w:t xml:space="preserve"> </w:t>
      </w:r>
      <w:r w:rsidR="002B6A97" w:rsidRPr="00B35346">
        <w:rPr>
          <w:rFonts w:ascii="Corbel" w:eastAsia="Times New Roman" w:hAnsi="Corbel" w:cstheme="minorHAnsi"/>
          <w:bCs/>
          <w:color w:val="333333"/>
          <w:sz w:val="20"/>
          <w:szCs w:val="24"/>
          <w:lang w:eastAsia="es-ES"/>
        </w:rPr>
        <w:t xml:space="preserve">71 créditos </w:t>
      </w:r>
      <w:proofErr w:type="spellStart"/>
      <w:r w:rsidR="002B6A97" w:rsidRPr="00B35346">
        <w:rPr>
          <w:rFonts w:ascii="Corbel" w:eastAsia="Times New Roman" w:hAnsi="Corbel" w:cstheme="minorHAnsi"/>
          <w:bCs/>
          <w:color w:val="333333"/>
          <w:sz w:val="20"/>
          <w:szCs w:val="24"/>
          <w:lang w:eastAsia="es-ES"/>
        </w:rPr>
        <w:t>ECMECs</w:t>
      </w:r>
      <w:proofErr w:type="spellEnd"/>
      <w:r w:rsidR="002B6A97" w:rsidRPr="00B35346">
        <w:rPr>
          <w:rFonts w:ascii="Corbel" w:eastAsia="Times New Roman" w:hAnsi="Corbel" w:cstheme="minorHAnsi"/>
          <w:bCs/>
          <w:color w:val="333333"/>
          <w:sz w:val="20"/>
          <w:szCs w:val="24"/>
          <w:lang w:eastAsia="es-ES"/>
        </w:rPr>
        <w:t xml:space="preserve"> de SEAFORMEC</w:t>
      </w:r>
      <w:r w:rsidR="002B6A97">
        <w:rPr>
          <w:rFonts w:ascii="Corbel" w:eastAsia="Times New Roman" w:hAnsi="Corbel" w:cstheme="minorHAnsi"/>
          <w:bCs/>
          <w:color w:val="333333"/>
          <w:sz w:val="20"/>
          <w:szCs w:val="24"/>
          <w:lang w:eastAsia="es-ES"/>
        </w:rPr>
        <w:t xml:space="preserve">, equivalentes a 10,9 créditos Españoles de Formación continuada del Sistema Nacional de Salud. </w:t>
      </w:r>
      <w:r w:rsidR="002B6A97" w:rsidRPr="00891156">
        <w:rPr>
          <w:rFonts w:ascii="Corbel" w:eastAsia="Times New Roman" w:hAnsi="Corbel" w:cstheme="minorHAnsi"/>
          <w:b/>
          <w:bCs/>
          <w:color w:val="333333"/>
          <w:sz w:val="20"/>
          <w:szCs w:val="24"/>
          <w:lang w:eastAsia="es-ES"/>
        </w:rPr>
        <w:t xml:space="preserve">Fechas </w:t>
      </w:r>
      <w:r w:rsidR="002B6A97">
        <w:rPr>
          <w:rFonts w:ascii="Corbel" w:eastAsia="Times New Roman" w:hAnsi="Corbel" w:cstheme="minorHAnsi"/>
          <w:b/>
          <w:bCs/>
          <w:color w:val="333333"/>
          <w:sz w:val="20"/>
          <w:szCs w:val="24"/>
          <w:lang w:eastAsia="es-ES"/>
        </w:rPr>
        <w:t>19-09-2022 al 14-</w:t>
      </w:r>
      <w:r w:rsidR="002B6A97" w:rsidRPr="00891156">
        <w:rPr>
          <w:rFonts w:ascii="Corbel" w:eastAsia="Times New Roman" w:hAnsi="Corbel" w:cstheme="minorHAnsi"/>
          <w:b/>
          <w:bCs/>
          <w:color w:val="333333"/>
          <w:sz w:val="20"/>
          <w:szCs w:val="24"/>
          <w:lang w:eastAsia="es-ES"/>
        </w:rPr>
        <w:t>11-2022</w:t>
      </w:r>
      <w:r w:rsidR="00FC264F">
        <w:rPr>
          <w:rFonts w:ascii="Corbel" w:eastAsia="Times New Roman" w:hAnsi="Corbel" w:cstheme="minorHAnsi"/>
          <w:b/>
          <w:bCs/>
          <w:color w:val="333333"/>
          <w:sz w:val="20"/>
          <w:szCs w:val="24"/>
          <w:lang w:eastAsia="es-ES"/>
        </w:rPr>
        <w:t xml:space="preserve">. </w:t>
      </w:r>
    </w:p>
    <w:p w:rsidR="002B6A97" w:rsidRPr="00891156" w:rsidRDefault="002B6A97" w:rsidP="002B6A97">
      <w:pPr>
        <w:spacing w:after="150" w:line="300" w:lineRule="atLeast"/>
        <w:jc w:val="both"/>
        <w:outlineLvl w:val="4"/>
        <w:rPr>
          <w:rFonts w:ascii="Corbel" w:eastAsia="Times New Roman" w:hAnsi="Corbel" w:cstheme="minorHAnsi"/>
          <w:b/>
          <w:bCs/>
          <w:color w:val="333333"/>
          <w:sz w:val="20"/>
          <w:szCs w:val="24"/>
          <w:lang w:eastAsia="es-ES"/>
        </w:rPr>
      </w:pPr>
      <w:r w:rsidRPr="00B35346">
        <w:rPr>
          <w:rFonts w:ascii="Corbel" w:eastAsia="Times New Roman" w:hAnsi="Corbel" w:cstheme="minorHAnsi"/>
          <w:b/>
          <w:bCs/>
          <w:color w:val="333333"/>
          <w:sz w:val="20"/>
          <w:szCs w:val="24"/>
          <w:lang w:eastAsia="es-ES"/>
        </w:rPr>
        <w:t xml:space="preserve">3.  ASPECTOS BIOÉTICOS Y SOCIALES EN LOS CUIDADOS DE SOPORTE PEDIÁTRICOS. </w:t>
      </w:r>
      <w:r w:rsidRPr="00B35346">
        <w:rPr>
          <w:rFonts w:ascii="Corbel" w:eastAsia="Times New Roman" w:hAnsi="Corbel" w:cstheme="minorHAnsi"/>
          <w:bCs/>
          <w:color w:val="333333"/>
          <w:sz w:val="20"/>
          <w:szCs w:val="24"/>
          <w:lang w:eastAsia="es-ES"/>
        </w:rPr>
        <w:t>Trabajo en equipo, cuidadores, familia, el niño ante la muerte, el duelo, valor de los grupos de apoyo, cine y la formación, quemamiento, la cooperación en Dolor, Oncología y Paliativos, la Bioética y los derechos de los niños</w:t>
      </w:r>
      <w:r w:rsidR="00C56E62">
        <w:rPr>
          <w:rFonts w:ascii="Corbel" w:eastAsia="Times New Roman" w:hAnsi="Corbel" w:cstheme="minorHAnsi"/>
          <w:bCs/>
          <w:color w:val="333333"/>
          <w:sz w:val="20"/>
          <w:szCs w:val="24"/>
          <w:lang w:eastAsia="es-ES"/>
        </w:rPr>
        <w:t xml:space="preserve">. </w:t>
      </w:r>
      <w:r w:rsidR="00C56E62" w:rsidRPr="00C56E62">
        <w:rPr>
          <w:rFonts w:ascii="Corbel" w:eastAsia="Times New Roman" w:hAnsi="Corbel" w:cstheme="minorHAnsi"/>
          <w:b/>
          <w:bCs/>
          <w:color w:val="333333"/>
          <w:sz w:val="20"/>
          <w:szCs w:val="24"/>
          <w:lang w:eastAsia="es-ES"/>
        </w:rPr>
        <w:t>Acreditación</w:t>
      </w:r>
      <w:r w:rsidR="00C56E62">
        <w:rPr>
          <w:rFonts w:ascii="Corbel" w:eastAsia="Times New Roman" w:hAnsi="Corbel" w:cstheme="minorHAnsi"/>
          <w:bCs/>
          <w:color w:val="333333"/>
          <w:sz w:val="20"/>
          <w:szCs w:val="24"/>
          <w:lang w:eastAsia="es-ES"/>
        </w:rPr>
        <w:t xml:space="preserve">: </w:t>
      </w:r>
      <w:r w:rsidRPr="00B35346">
        <w:rPr>
          <w:rFonts w:ascii="Corbel" w:eastAsia="Times New Roman" w:hAnsi="Corbel" w:cstheme="minorHAnsi"/>
          <w:bCs/>
          <w:color w:val="333333"/>
          <w:sz w:val="20"/>
          <w:szCs w:val="24"/>
          <w:lang w:eastAsia="es-ES"/>
        </w:rPr>
        <w:t xml:space="preserve">75 Créditos </w:t>
      </w:r>
      <w:proofErr w:type="spellStart"/>
      <w:r w:rsidRPr="00B35346">
        <w:rPr>
          <w:rFonts w:ascii="Corbel" w:eastAsia="Times New Roman" w:hAnsi="Corbel" w:cstheme="minorHAnsi"/>
          <w:bCs/>
          <w:color w:val="333333"/>
          <w:sz w:val="20"/>
          <w:szCs w:val="24"/>
          <w:lang w:eastAsia="es-ES"/>
        </w:rPr>
        <w:t>ECMECs</w:t>
      </w:r>
      <w:proofErr w:type="spellEnd"/>
      <w:r w:rsidRPr="00B35346">
        <w:rPr>
          <w:rFonts w:ascii="Corbel" w:eastAsia="Times New Roman" w:hAnsi="Corbel" w:cstheme="minorHAnsi"/>
          <w:bCs/>
          <w:color w:val="333333"/>
          <w:sz w:val="20"/>
          <w:szCs w:val="24"/>
          <w:lang w:eastAsia="es-ES"/>
        </w:rPr>
        <w:t> de SEAFORMEC</w:t>
      </w:r>
      <w:r>
        <w:rPr>
          <w:rFonts w:ascii="Corbel" w:eastAsia="Times New Roman" w:hAnsi="Corbel" w:cstheme="minorHAnsi"/>
          <w:bCs/>
          <w:color w:val="333333"/>
          <w:sz w:val="20"/>
          <w:szCs w:val="24"/>
          <w:lang w:eastAsia="es-ES"/>
        </w:rPr>
        <w:t>, equivalentes a 11,5 Créditos Españoles de Formación Continuada del Sistema Nacional de Salud.</w:t>
      </w:r>
      <w:r w:rsidR="00C56E62">
        <w:rPr>
          <w:rFonts w:ascii="Corbel" w:eastAsia="Times New Roman" w:hAnsi="Corbel" w:cstheme="minorHAnsi"/>
          <w:bCs/>
          <w:color w:val="333333"/>
          <w:sz w:val="20"/>
          <w:szCs w:val="24"/>
          <w:lang w:eastAsia="es-ES"/>
        </w:rPr>
        <w:t xml:space="preserve"> </w:t>
      </w:r>
      <w:r>
        <w:rPr>
          <w:rFonts w:ascii="Corbel" w:eastAsia="Times New Roman" w:hAnsi="Corbel" w:cstheme="minorHAnsi"/>
          <w:bCs/>
          <w:color w:val="333333"/>
          <w:sz w:val="20"/>
          <w:szCs w:val="24"/>
          <w:lang w:eastAsia="es-ES"/>
        </w:rPr>
        <w:t xml:space="preserve">  </w:t>
      </w:r>
      <w:r w:rsidRPr="00891156">
        <w:rPr>
          <w:rFonts w:ascii="Corbel" w:eastAsia="Times New Roman" w:hAnsi="Corbel" w:cstheme="minorHAnsi"/>
          <w:b/>
          <w:bCs/>
          <w:color w:val="333333"/>
          <w:sz w:val="20"/>
          <w:szCs w:val="24"/>
          <w:lang w:eastAsia="es-ES"/>
        </w:rPr>
        <w:t>Fechas</w:t>
      </w:r>
      <w:r w:rsidR="00C56E62">
        <w:rPr>
          <w:rFonts w:ascii="Corbel" w:eastAsia="Times New Roman" w:hAnsi="Corbel" w:cstheme="minorHAnsi"/>
          <w:b/>
          <w:bCs/>
          <w:color w:val="333333"/>
          <w:sz w:val="20"/>
          <w:szCs w:val="24"/>
          <w:lang w:eastAsia="es-ES"/>
        </w:rPr>
        <w:t xml:space="preserve"> de </w:t>
      </w:r>
      <w:proofErr w:type="gramStart"/>
      <w:r w:rsidR="00C56E62">
        <w:rPr>
          <w:rFonts w:ascii="Corbel" w:eastAsia="Times New Roman" w:hAnsi="Corbel" w:cstheme="minorHAnsi"/>
          <w:b/>
          <w:bCs/>
          <w:color w:val="333333"/>
          <w:sz w:val="20"/>
          <w:szCs w:val="24"/>
          <w:lang w:eastAsia="es-ES"/>
        </w:rPr>
        <w:t xml:space="preserve">inicio </w:t>
      </w:r>
      <w:r w:rsidRPr="00891156">
        <w:rPr>
          <w:rFonts w:ascii="Corbel" w:eastAsia="Times New Roman" w:hAnsi="Corbel" w:cstheme="minorHAnsi"/>
          <w:b/>
          <w:bCs/>
          <w:color w:val="333333"/>
          <w:sz w:val="20"/>
          <w:szCs w:val="24"/>
          <w:lang w:eastAsia="es-ES"/>
        </w:rPr>
        <w:t xml:space="preserve"> </w:t>
      </w:r>
      <w:r>
        <w:rPr>
          <w:rFonts w:ascii="Corbel" w:eastAsia="Times New Roman" w:hAnsi="Corbel" w:cstheme="minorHAnsi"/>
          <w:b/>
          <w:bCs/>
          <w:color w:val="333333"/>
          <w:sz w:val="20"/>
          <w:szCs w:val="24"/>
          <w:lang w:eastAsia="es-ES"/>
        </w:rPr>
        <w:t>:</w:t>
      </w:r>
      <w:proofErr w:type="gramEnd"/>
      <w:r>
        <w:rPr>
          <w:rFonts w:ascii="Corbel" w:eastAsia="Times New Roman" w:hAnsi="Corbel" w:cstheme="minorHAnsi"/>
          <w:b/>
          <w:bCs/>
          <w:color w:val="333333"/>
          <w:sz w:val="20"/>
          <w:szCs w:val="24"/>
          <w:lang w:eastAsia="es-ES"/>
        </w:rPr>
        <w:t xml:space="preserve"> </w:t>
      </w:r>
      <w:r w:rsidRPr="00891156">
        <w:rPr>
          <w:rFonts w:ascii="Corbel" w:eastAsia="Times New Roman" w:hAnsi="Corbel" w:cstheme="minorHAnsi"/>
          <w:b/>
          <w:bCs/>
          <w:color w:val="333333"/>
          <w:sz w:val="20"/>
          <w:szCs w:val="24"/>
          <w:lang w:eastAsia="es-ES"/>
        </w:rPr>
        <w:t xml:space="preserve">21-11-2022 al 23-01-2022 </w:t>
      </w:r>
    </w:p>
    <w:p w:rsidR="002B6A97" w:rsidRDefault="002B6A97" w:rsidP="002B6A97">
      <w:pPr>
        <w:spacing w:after="150" w:line="300" w:lineRule="atLeast"/>
        <w:jc w:val="both"/>
        <w:outlineLvl w:val="4"/>
        <w:rPr>
          <w:rFonts w:ascii="Corbel" w:eastAsia="Times New Roman" w:hAnsi="Corbel" w:cstheme="minorHAnsi"/>
          <w:b/>
          <w:bCs/>
          <w:color w:val="333333"/>
          <w:sz w:val="18"/>
          <w:szCs w:val="24"/>
          <w:lang w:eastAsia="es-ES"/>
        </w:rPr>
      </w:pPr>
      <w:r w:rsidRPr="00B35346">
        <w:rPr>
          <w:rFonts w:ascii="Corbel" w:eastAsia="Times New Roman" w:hAnsi="Corbel" w:cstheme="minorHAnsi"/>
          <w:bCs/>
          <w:color w:val="333333"/>
          <w:sz w:val="20"/>
          <w:szCs w:val="24"/>
          <w:lang w:eastAsia="es-ES"/>
        </w:rPr>
        <w:t>Estos</w:t>
      </w:r>
      <w:r w:rsidR="00C56E62">
        <w:rPr>
          <w:rFonts w:ascii="Corbel" w:eastAsia="Times New Roman" w:hAnsi="Corbel" w:cstheme="minorHAnsi"/>
          <w:bCs/>
          <w:color w:val="333333"/>
          <w:sz w:val="20"/>
          <w:szCs w:val="24"/>
          <w:lang w:eastAsia="es-ES"/>
        </w:rPr>
        <w:t xml:space="preserve"> dos cursos</w:t>
      </w:r>
      <w:r w:rsidRPr="00B35346">
        <w:rPr>
          <w:rFonts w:ascii="Corbel" w:eastAsia="Times New Roman" w:hAnsi="Corbel" w:cstheme="minorHAnsi"/>
          <w:bCs/>
          <w:color w:val="333333"/>
          <w:sz w:val="20"/>
          <w:szCs w:val="24"/>
          <w:lang w:eastAsia="es-ES"/>
        </w:rPr>
        <w:t xml:space="preserve"> </w:t>
      </w:r>
      <w:r w:rsidR="00C56E62">
        <w:rPr>
          <w:rFonts w:ascii="Corbel" w:eastAsia="Times New Roman" w:hAnsi="Corbel" w:cstheme="minorHAnsi"/>
          <w:bCs/>
          <w:color w:val="333333"/>
          <w:sz w:val="20"/>
          <w:szCs w:val="24"/>
          <w:lang w:eastAsia="es-ES"/>
        </w:rPr>
        <w:t xml:space="preserve">servirán para ofrecer </w:t>
      </w:r>
      <w:r w:rsidRPr="00B35346">
        <w:rPr>
          <w:rFonts w:ascii="Corbel" w:eastAsia="Times New Roman" w:hAnsi="Corbel" w:cstheme="minorHAnsi"/>
          <w:bCs/>
          <w:color w:val="333333"/>
          <w:sz w:val="20"/>
          <w:szCs w:val="24"/>
          <w:lang w:eastAsia="es-ES"/>
        </w:rPr>
        <w:t>una visión integral de las posibilidades paliativas</w:t>
      </w:r>
      <w:r w:rsidR="00C56E62">
        <w:rPr>
          <w:rFonts w:ascii="Corbel" w:eastAsia="Times New Roman" w:hAnsi="Corbel" w:cstheme="minorHAnsi"/>
          <w:bCs/>
          <w:color w:val="333333"/>
          <w:sz w:val="20"/>
          <w:szCs w:val="24"/>
          <w:lang w:eastAsia="es-ES"/>
        </w:rPr>
        <w:t xml:space="preserve"> pediátricas</w:t>
      </w:r>
      <w:r w:rsidRPr="00B35346">
        <w:rPr>
          <w:rFonts w:ascii="Corbel" w:eastAsia="Times New Roman" w:hAnsi="Corbel" w:cstheme="minorHAnsi"/>
          <w:bCs/>
          <w:color w:val="333333"/>
          <w:sz w:val="20"/>
          <w:szCs w:val="24"/>
          <w:lang w:eastAsia="es-ES"/>
        </w:rPr>
        <w:t xml:space="preserve"> actuales tanto en patologías oncológicas como en no </w:t>
      </w:r>
      <w:proofErr w:type="gramStart"/>
      <w:r w:rsidRPr="00B35346">
        <w:rPr>
          <w:rFonts w:ascii="Corbel" w:eastAsia="Times New Roman" w:hAnsi="Corbel" w:cstheme="minorHAnsi"/>
          <w:bCs/>
          <w:color w:val="333333"/>
          <w:sz w:val="20"/>
          <w:szCs w:val="24"/>
          <w:lang w:eastAsia="es-ES"/>
        </w:rPr>
        <w:t>oncológicas .</w:t>
      </w:r>
      <w:proofErr w:type="gramEnd"/>
      <w:r w:rsidRPr="00B35346">
        <w:rPr>
          <w:rFonts w:ascii="Corbel" w:eastAsia="Times New Roman" w:hAnsi="Corbel" w:cstheme="minorHAnsi"/>
          <w:bCs/>
          <w:color w:val="333333"/>
          <w:sz w:val="20"/>
          <w:szCs w:val="24"/>
          <w:lang w:eastAsia="es-ES"/>
        </w:rPr>
        <w:t xml:space="preserve"> El programa se basa en una metodología 100 % online. En cada curso la parte teórica se combina con casos clínicos, bibliografía complementaria, videos seleccionados con foros con tutores para proporcionar a los asistentes una formación holística integral</w:t>
      </w:r>
      <w:r w:rsidRPr="00137FE2">
        <w:rPr>
          <w:rFonts w:ascii="Corbel" w:eastAsia="Times New Roman" w:hAnsi="Corbel" w:cstheme="minorHAnsi"/>
          <w:bCs/>
          <w:color w:val="333333"/>
          <w:sz w:val="18"/>
          <w:szCs w:val="24"/>
          <w:lang w:eastAsia="es-ES"/>
        </w:rPr>
        <w:t>.</w:t>
      </w:r>
      <w:r>
        <w:rPr>
          <w:rFonts w:ascii="Corbel" w:eastAsia="Times New Roman" w:hAnsi="Corbel" w:cstheme="minorHAnsi"/>
          <w:b/>
          <w:bCs/>
          <w:color w:val="333333"/>
          <w:sz w:val="18"/>
          <w:szCs w:val="24"/>
          <w:lang w:eastAsia="es-ES"/>
        </w:rPr>
        <w:t xml:space="preserve"> </w:t>
      </w:r>
      <w:r w:rsidR="00FC264F">
        <w:rPr>
          <w:rFonts w:ascii="Corbel" w:eastAsia="Times New Roman" w:hAnsi="Corbel" w:cstheme="minorHAnsi"/>
          <w:b/>
          <w:bCs/>
          <w:color w:val="333333"/>
          <w:sz w:val="18"/>
          <w:szCs w:val="24"/>
          <w:lang w:eastAsia="es-ES"/>
        </w:rPr>
        <w:t xml:space="preserve"> Precio de cada </w:t>
      </w:r>
      <w:proofErr w:type="gramStart"/>
      <w:r w:rsidR="00FC264F">
        <w:rPr>
          <w:rFonts w:ascii="Corbel" w:eastAsia="Times New Roman" w:hAnsi="Corbel" w:cstheme="minorHAnsi"/>
          <w:b/>
          <w:bCs/>
          <w:color w:val="333333"/>
          <w:sz w:val="18"/>
          <w:szCs w:val="24"/>
          <w:lang w:eastAsia="es-ES"/>
        </w:rPr>
        <w:t>curso :90</w:t>
      </w:r>
      <w:proofErr w:type="gramEnd"/>
      <w:r w:rsidR="00FC264F">
        <w:rPr>
          <w:rFonts w:ascii="Corbel" w:eastAsia="Times New Roman" w:hAnsi="Corbel" w:cstheme="minorHAnsi"/>
          <w:b/>
          <w:bCs/>
          <w:color w:val="333333"/>
          <w:sz w:val="18"/>
          <w:szCs w:val="24"/>
          <w:lang w:eastAsia="es-ES"/>
        </w:rPr>
        <w:t xml:space="preserve"> euros</w:t>
      </w:r>
    </w:p>
    <w:p w:rsidR="002B6A97" w:rsidRPr="00CF3499" w:rsidRDefault="002B6A97" w:rsidP="002B6A97">
      <w:pPr>
        <w:spacing w:after="150" w:line="300" w:lineRule="atLeast"/>
        <w:jc w:val="both"/>
        <w:outlineLvl w:val="4"/>
        <w:rPr>
          <w:rFonts w:ascii="Corbel" w:eastAsia="Times New Roman" w:hAnsi="Corbel" w:cstheme="minorHAnsi"/>
          <w:b/>
          <w:bCs/>
          <w:color w:val="333333"/>
          <w:sz w:val="18"/>
          <w:szCs w:val="24"/>
          <w:lang w:eastAsia="es-ES"/>
        </w:rPr>
      </w:pPr>
      <w:r>
        <w:rPr>
          <w:rFonts w:ascii="Corbel" w:eastAsia="Times New Roman" w:hAnsi="Corbel" w:cstheme="minorHAnsi"/>
          <w:b/>
          <w:bCs/>
          <w:color w:val="333333"/>
          <w:sz w:val="18"/>
          <w:szCs w:val="24"/>
          <w:lang w:eastAsia="es-ES"/>
        </w:rPr>
        <w:t xml:space="preserve">Inscripciones  </w:t>
      </w:r>
      <w:r w:rsidR="00D35E73">
        <w:rPr>
          <w:rFonts w:ascii="Corbel" w:eastAsia="Times New Roman" w:hAnsi="Corbel" w:cstheme="minorHAnsi"/>
          <w:b/>
          <w:bCs/>
          <w:color w:val="333333"/>
          <w:sz w:val="18"/>
          <w:szCs w:val="24"/>
          <w:lang w:eastAsia="es-ES"/>
        </w:rPr>
        <w:t>Http://</w:t>
      </w:r>
      <w:hyperlink r:id="rId8" w:history="1">
        <w:r w:rsidRPr="00DB50D4">
          <w:rPr>
            <w:rStyle w:val="Hipervnculo"/>
            <w:rFonts w:ascii="Corbel" w:eastAsia="Times New Roman" w:hAnsi="Corbel" w:cstheme="minorHAnsi"/>
            <w:b/>
            <w:bCs/>
            <w:sz w:val="18"/>
            <w:szCs w:val="24"/>
            <w:lang w:eastAsia="es-ES"/>
          </w:rPr>
          <w:t>www.paliativossinfronteras.org</w:t>
        </w:r>
      </w:hyperlink>
      <w:r>
        <w:rPr>
          <w:rFonts w:ascii="Corbel" w:eastAsia="Times New Roman" w:hAnsi="Corbel" w:cstheme="minorHAnsi"/>
          <w:b/>
          <w:bCs/>
          <w:color w:val="333333"/>
          <w:sz w:val="18"/>
          <w:szCs w:val="24"/>
          <w:lang w:eastAsia="es-ES"/>
        </w:rPr>
        <w:t xml:space="preserve">    </w:t>
      </w:r>
      <w:r w:rsidR="00545562">
        <w:rPr>
          <w:rFonts w:ascii="Corbel" w:eastAsia="Times New Roman" w:hAnsi="Corbel" w:cstheme="minorHAnsi"/>
          <w:b/>
          <w:bCs/>
          <w:color w:val="333333"/>
          <w:sz w:val="18"/>
          <w:szCs w:val="24"/>
          <w:lang w:eastAsia="es-ES"/>
        </w:rPr>
        <w:t xml:space="preserve">  info@paliativossinfronteras.org</w:t>
      </w:r>
    </w:p>
    <w:p w:rsidR="00DB5A23" w:rsidRDefault="00DB5A23"/>
    <w:sectPr w:rsidR="00DB5A2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A97"/>
    <w:rsid w:val="00001DF3"/>
    <w:rsid w:val="00064811"/>
    <w:rsid w:val="002B6A97"/>
    <w:rsid w:val="003C184D"/>
    <w:rsid w:val="00545562"/>
    <w:rsid w:val="007B5F24"/>
    <w:rsid w:val="00C56E62"/>
    <w:rsid w:val="00CC326B"/>
    <w:rsid w:val="00D35E73"/>
    <w:rsid w:val="00DB5A23"/>
    <w:rsid w:val="00FC2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A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B6A97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6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6A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A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B6A97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6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6A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liativossinfronteras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WILSON</dc:creator>
  <cp:lastModifiedBy>WILSON</cp:lastModifiedBy>
  <cp:revision>2</cp:revision>
  <dcterms:created xsi:type="dcterms:W3CDTF">2022-09-10T17:49:00Z</dcterms:created>
  <dcterms:modified xsi:type="dcterms:W3CDTF">2022-09-10T17:49:00Z</dcterms:modified>
</cp:coreProperties>
</file>